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7D96" w14:textId="251B380C" w:rsidR="00430531" w:rsidRDefault="000E666E" w:rsidP="00430531">
      <w:pPr>
        <w:rPr>
          <w:rFonts w:asciiTheme="majorHAnsi" w:hAnsiTheme="majorHAnsi" w:cstheme="majorHAnsi"/>
          <w:color w:val="003478"/>
          <w:sz w:val="28"/>
        </w:rPr>
      </w:pPr>
      <w:r>
        <w:rPr>
          <w:rFonts w:asciiTheme="majorHAnsi" w:hAnsiTheme="majorHAnsi" w:cstheme="majorHAnsi"/>
          <w:color w:val="003478"/>
          <w:sz w:val="44"/>
        </w:rPr>
        <w:t>Social value research at Keepmoat’s NHBC Bricklaying Apprentice Hub at Scotswood</w:t>
      </w:r>
    </w:p>
    <w:p w14:paraId="1432DD54" w14:textId="40710F7C" w:rsidR="00430531" w:rsidRPr="00430531" w:rsidRDefault="000E666E" w:rsidP="00430531">
      <w:pPr>
        <w:rPr>
          <w:rFonts w:asciiTheme="majorHAnsi" w:hAnsiTheme="majorHAnsi" w:cstheme="majorHAnsi"/>
          <w:color w:val="BED600"/>
          <w:sz w:val="56"/>
        </w:rPr>
      </w:pPr>
      <w:r>
        <w:rPr>
          <w:rFonts w:asciiTheme="majorHAnsi" w:hAnsiTheme="majorHAnsi" w:cstheme="majorHAnsi"/>
          <w:color w:val="BED600"/>
          <w:sz w:val="40"/>
        </w:rPr>
        <w:t>Case study</w:t>
      </w:r>
    </w:p>
    <w:p w14:paraId="3B6DF06E" w14:textId="14F8F4E4" w:rsidR="000E666E" w:rsidRDefault="000E666E" w:rsidP="00430531">
      <w:pPr>
        <w:rPr>
          <w:rFonts w:asciiTheme="majorHAnsi" w:hAnsiTheme="majorHAnsi" w:cstheme="majorHAnsi"/>
          <w:color w:val="000000" w:themeColor="text1"/>
          <w:sz w:val="36"/>
        </w:rPr>
      </w:pPr>
    </w:p>
    <w:p w14:paraId="7F1A841E" w14:textId="2062984D" w:rsidR="000E666E" w:rsidRDefault="000E666E" w:rsidP="00430531">
      <w:pPr>
        <w:rPr>
          <w:rFonts w:cstheme="minorHAnsi"/>
          <w:color w:val="646363"/>
        </w:rPr>
      </w:pPr>
      <w:r>
        <w:rPr>
          <w:rFonts w:cstheme="minorHAnsi"/>
          <w:color w:val="646363"/>
        </w:rPr>
        <w:t xml:space="preserve">Keepmoat runs a Bricklaying Apprentice Hub in partnership with the NHBC on our Scotswood development in Newcastle-upon-Tyne. </w:t>
      </w:r>
    </w:p>
    <w:p w14:paraId="30783674" w14:textId="5DD96F81" w:rsidR="000E666E" w:rsidRDefault="000E666E" w:rsidP="00430531">
      <w:pPr>
        <w:rPr>
          <w:rFonts w:cstheme="minorHAnsi"/>
          <w:color w:val="646363"/>
        </w:rPr>
      </w:pPr>
      <w:r>
        <w:rPr>
          <w:rFonts w:cstheme="minorHAnsi"/>
          <w:color w:val="646363"/>
        </w:rPr>
        <w:t>The Hub aims to improve the quality of apprenticeships by enabling trainees to get hands-on more quickly when they are ready to progress to work on a building site. The Hub is open to apprentices of all trades subcontractors and homebuilders.</w:t>
      </w:r>
    </w:p>
    <w:p w14:paraId="2C9974D5" w14:textId="77777777" w:rsidR="000E666E" w:rsidRDefault="000E666E" w:rsidP="00DA5331"/>
    <w:p w14:paraId="0C0CD83E" w14:textId="5D5A9DA8" w:rsidR="000E666E" w:rsidRDefault="000E666E" w:rsidP="00430531">
      <w:pPr>
        <w:rPr>
          <w:rFonts w:asciiTheme="majorHAnsi" w:hAnsiTheme="majorHAnsi" w:cstheme="majorHAnsi"/>
          <w:color w:val="003478"/>
          <w:sz w:val="36"/>
        </w:rPr>
      </w:pPr>
      <w:r>
        <w:rPr>
          <w:rFonts w:asciiTheme="majorHAnsi" w:hAnsiTheme="majorHAnsi" w:cstheme="majorHAnsi"/>
          <w:color w:val="003478"/>
          <w:sz w:val="36"/>
        </w:rPr>
        <w:t>Measuring the wider value</w:t>
      </w:r>
    </w:p>
    <w:p w14:paraId="72246D5A" w14:textId="1AB01909" w:rsidR="000E666E" w:rsidRDefault="000E666E" w:rsidP="00430531">
      <w:pPr>
        <w:rPr>
          <w:rFonts w:cstheme="minorHAnsi"/>
          <w:color w:val="646363"/>
        </w:rPr>
      </w:pPr>
      <w:r>
        <w:rPr>
          <w:rFonts w:cstheme="minorHAnsi"/>
          <w:color w:val="646363"/>
        </w:rPr>
        <w:t xml:space="preserve">Through continual engagement with the young people training at the Hub, we knew that the value that the Hub provided by it goes far beyond the training alone. We commissioned Social Value Advanced Practitioner and consultant Nicola Lynch to undertake </w:t>
      </w:r>
      <w:r w:rsidR="00DA5331">
        <w:rPr>
          <w:rFonts w:cstheme="minorHAnsi"/>
          <w:color w:val="646363"/>
        </w:rPr>
        <w:t xml:space="preserve">an </w:t>
      </w:r>
      <w:r>
        <w:rPr>
          <w:rFonts w:cstheme="minorHAnsi"/>
          <w:color w:val="646363"/>
        </w:rPr>
        <w:t>advanced social value assessment of the Hub known as a Social Return on Investment (SROI) analysis.</w:t>
      </w:r>
    </w:p>
    <w:p w14:paraId="53C13899" w14:textId="654ABC2D" w:rsidR="000E666E" w:rsidRDefault="000E666E" w:rsidP="00430531">
      <w:pPr>
        <w:rPr>
          <w:rFonts w:cstheme="minorHAnsi"/>
          <w:color w:val="646363"/>
        </w:rPr>
      </w:pPr>
      <w:r>
        <w:rPr>
          <w:rFonts w:cstheme="minorHAnsi"/>
          <w:color w:val="646363"/>
        </w:rPr>
        <w:t>This type of analysis helps to understand the changes that stakeholders value, and the extent to which they experienced these changes as a result of an intervention – in this case, training at the Hub.</w:t>
      </w:r>
    </w:p>
    <w:p w14:paraId="2B58F68C" w14:textId="77777777" w:rsidR="000E666E" w:rsidRDefault="000E666E" w:rsidP="00DA5331"/>
    <w:p w14:paraId="3F6C5E76" w14:textId="0D936748" w:rsidR="000E666E" w:rsidRDefault="000E666E" w:rsidP="00430531">
      <w:pPr>
        <w:rPr>
          <w:rFonts w:asciiTheme="majorHAnsi" w:hAnsiTheme="majorHAnsi" w:cstheme="majorHAnsi"/>
          <w:color w:val="003478"/>
          <w:sz w:val="36"/>
        </w:rPr>
      </w:pPr>
      <w:r>
        <w:rPr>
          <w:rFonts w:asciiTheme="majorHAnsi" w:hAnsiTheme="majorHAnsi" w:cstheme="majorHAnsi"/>
          <w:color w:val="003478"/>
          <w:sz w:val="36"/>
        </w:rPr>
        <w:t>Results</w:t>
      </w:r>
    </w:p>
    <w:p w14:paraId="42A9700B" w14:textId="2D0E0F93" w:rsidR="000E666E" w:rsidRDefault="000E666E" w:rsidP="00430531">
      <w:pPr>
        <w:rPr>
          <w:rFonts w:asciiTheme="majorHAnsi" w:hAnsiTheme="majorHAnsi" w:cstheme="majorHAnsi"/>
          <w:color w:val="000000" w:themeColor="text1"/>
          <w:sz w:val="36"/>
        </w:rPr>
      </w:pPr>
      <w:r>
        <w:rPr>
          <w:rFonts w:cstheme="minorHAnsi"/>
          <w:color w:val="646363"/>
        </w:rPr>
        <w:t xml:space="preserve">The SROI is still ongoing, and the intention is to seek assurance for the written report by Social Value International. In the meantime, a preliminary report of findings can be read </w:t>
      </w:r>
      <w:hyperlink r:id="rId10" w:history="1">
        <w:r w:rsidRPr="000A46F0">
          <w:rPr>
            <w:rStyle w:val="Hyperlink"/>
            <w:rFonts w:cstheme="minorHAnsi"/>
          </w:rPr>
          <w:t>here.</w:t>
        </w:r>
      </w:hyperlink>
      <w:r>
        <w:rPr>
          <w:rFonts w:cstheme="minorHAnsi"/>
          <w:color w:val="646363"/>
        </w:rPr>
        <w:t xml:space="preserve"> </w:t>
      </w:r>
    </w:p>
    <w:sectPr w:rsidR="000E666E" w:rsidSect="00B46B71">
      <w:headerReference w:type="default" r:id="rId11"/>
      <w:footerReference w:type="default" r:id="rId12"/>
      <w:pgSz w:w="11906" w:h="16838"/>
      <w:pgMar w:top="1440" w:right="1440" w:bottom="1440" w:left="1440" w:header="708" w:footer="2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C5C80" w14:textId="77777777" w:rsidR="00B46B71" w:rsidRDefault="00B46B71" w:rsidP="00430531">
      <w:pPr>
        <w:spacing w:after="0" w:line="240" w:lineRule="auto"/>
      </w:pPr>
      <w:r>
        <w:separator/>
      </w:r>
    </w:p>
  </w:endnote>
  <w:endnote w:type="continuationSeparator" w:id="0">
    <w:p w14:paraId="1EF0B0B9" w14:textId="77777777" w:rsidR="00B46B71" w:rsidRDefault="00B46B71" w:rsidP="0043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6806" w:type="dxa"/>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850"/>
      <w:gridCol w:w="1560"/>
      <w:gridCol w:w="1561"/>
    </w:tblGrid>
    <w:tr w:rsidR="00466893" w:rsidRPr="00256726" w14:paraId="19FF9B5F" w14:textId="77777777" w:rsidTr="00466893">
      <w:trPr>
        <w:trHeight w:val="253"/>
      </w:trPr>
      <w:tc>
        <w:tcPr>
          <w:tcW w:w="2835" w:type="dxa"/>
          <w:shd w:val="clear" w:color="auto" w:fill="auto"/>
        </w:tcPr>
        <w:p w14:paraId="15BB25E7" w14:textId="4E3F3EBD" w:rsidR="00466893" w:rsidRPr="00256726" w:rsidRDefault="00466893" w:rsidP="00430531">
          <w:pPr>
            <w:pStyle w:val="Footer"/>
            <w:rPr>
              <w:b/>
              <w:color w:val="646363"/>
              <w:sz w:val="18"/>
            </w:rPr>
          </w:pPr>
        </w:p>
      </w:tc>
      <w:tc>
        <w:tcPr>
          <w:tcW w:w="850" w:type="dxa"/>
        </w:tcPr>
        <w:p w14:paraId="47A9D294" w14:textId="74752CA9" w:rsidR="00466893" w:rsidRPr="00256726" w:rsidRDefault="00466893" w:rsidP="00430531">
          <w:pPr>
            <w:pStyle w:val="Footer"/>
            <w:rPr>
              <w:b/>
              <w:color w:val="646363"/>
              <w:sz w:val="18"/>
            </w:rPr>
          </w:pPr>
        </w:p>
      </w:tc>
      <w:tc>
        <w:tcPr>
          <w:tcW w:w="1560" w:type="dxa"/>
          <w:shd w:val="clear" w:color="auto" w:fill="auto"/>
        </w:tcPr>
        <w:p w14:paraId="5900526D" w14:textId="65C93EA5" w:rsidR="00466893" w:rsidRPr="00256726" w:rsidRDefault="00466893" w:rsidP="00430531">
          <w:pPr>
            <w:pStyle w:val="Footer"/>
            <w:rPr>
              <w:color w:val="646363"/>
              <w:sz w:val="18"/>
            </w:rPr>
          </w:pPr>
          <w:r w:rsidRPr="00256726">
            <w:rPr>
              <w:b/>
              <w:color w:val="646363"/>
              <w:sz w:val="18"/>
            </w:rPr>
            <w:t>Date:</w:t>
          </w:r>
          <w:r>
            <w:rPr>
              <w:b/>
              <w:color w:val="646363"/>
              <w:sz w:val="18"/>
            </w:rPr>
            <w:t xml:space="preserve"> </w:t>
          </w:r>
          <w:r w:rsidR="000E666E">
            <w:rPr>
              <w:b/>
              <w:color w:val="646363"/>
              <w:sz w:val="18"/>
            </w:rPr>
            <w:t>05</w:t>
          </w:r>
          <w:r w:rsidRPr="00256726">
            <w:rPr>
              <w:color w:val="646363"/>
              <w:sz w:val="18"/>
            </w:rPr>
            <w:t>/</w:t>
          </w:r>
          <w:r w:rsidR="000E666E">
            <w:rPr>
              <w:color w:val="646363"/>
              <w:sz w:val="18"/>
            </w:rPr>
            <w:t>04</w:t>
          </w:r>
          <w:r w:rsidRPr="00256726">
            <w:rPr>
              <w:color w:val="646363"/>
              <w:sz w:val="18"/>
            </w:rPr>
            <w:t>/</w:t>
          </w:r>
          <w:r w:rsidR="000E666E">
            <w:rPr>
              <w:color w:val="646363"/>
              <w:sz w:val="18"/>
            </w:rPr>
            <w:t>24</w:t>
          </w:r>
        </w:p>
      </w:tc>
      <w:tc>
        <w:tcPr>
          <w:tcW w:w="1561" w:type="dxa"/>
          <w:shd w:val="clear" w:color="auto" w:fill="auto"/>
        </w:tcPr>
        <w:p w14:paraId="7C67178E" w14:textId="77777777" w:rsidR="00466893" w:rsidRPr="00256726" w:rsidRDefault="00466893" w:rsidP="00430531">
          <w:pPr>
            <w:pStyle w:val="Footer"/>
            <w:rPr>
              <w:color w:val="646363"/>
              <w:sz w:val="18"/>
            </w:rPr>
          </w:pPr>
          <w:r w:rsidRPr="00466893">
            <w:rPr>
              <w:color w:val="646363"/>
              <w:sz w:val="18"/>
            </w:rPr>
            <w:t xml:space="preserve">Page </w:t>
          </w:r>
          <w:r w:rsidRPr="00466893">
            <w:rPr>
              <w:b/>
              <w:bCs/>
              <w:color w:val="646363"/>
              <w:sz w:val="18"/>
            </w:rPr>
            <w:fldChar w:fldCharType="begin"/>
          </w:r>
          <w:r w:rsidRPr="00466893">
            <w:rPr>
              <w:b/>
              <w:bCs/>
              <w:color w:val="646363"/>
              <w:sz w:val="18"/>
            </w:rPr>
            <w:instrText xml:space="preserve"> PAGE  \* Arabic  \* MERGEFORMAT </w:instrText>
          </w:r>
          <w:r w:rsidRPr="00466893">
            <w:rPr>
              <w:b/>
              <w:bCs/>
              <w:color w:val="646363"/>
              <w:sz w:val="18"/>
            </w:rPr>
            <w:fldChar w:fldCharType="separate"/>
          </w:r>
          <w:r w:rsidRPr="00466893">
            <w:rPr>
              <w:b/>
              <w:bCs/>
              <w:noProof/>
              <w:color w:val="646363"/>
              <w:sz w:val="18"/>
            </w:rPr>
            <w:t>1</w:t>
          </w:r>
          <w:r w:rsidRPr="00466893">
            <w:rPr>
              <w:b/>
              <w:bCs/>
              <w:color w:val="646363"/>
              <w:sz w:val="18"/>
            </w:rPr>
            <w:fldChar w:fldCharType="end"/>
          </w:r>
          <w:r w:rsidRPr="00466893">
            <w:rPr>
              <w:color w:val="646363"/>
              <w:sz w:val="18"/>
            </w:rPr>
            <w:t xml:space="preserve"> of </w:t>
          </w:r>
          <w:r w:rsidRPr="00466893">
            <w:rPr>
              <w:b/>
              <w:bCs/>
              <w:color w:val="646363"/>
              <w:sz w:val="18"/>
            </w:rPr>
            <w:fldChar w:fldCharType="begin"/>
          </w:r>
          <w:r w:rsidRPr="00466893">
            <w:rPr>
              <w:b/>
              <w:bCs/>
              <w:color w:val="646363"/>
              <w:sz w:val="18"/>
            </w:rPr>
            <w:instrText xml:space="preserve"> NUMPAGES  \* Arabic  \* MERGEFORMAT </w:instrText>
          </w:r>
          <w:r w:rsidRPr="00466893">
            <w:rPr>
              <w:b/>
              <w:bCs/>
              <w:color w:val="646363"/>
              <w:sz w:val="18"/>
            </w:rPr>
            <w:fldChar w:fldCharType="separate"/>
          </w:r>
          <w:r w:rsidRPr="00466893">
            <w:rPr>
              <w:b/>
              <w:bCs/>
              <w:noProof/>
              <w:color w:val="646363"/>
              <w:sz w:val="18"/>
            </w:rPr>
            <w:t>2</w:t>
          </w:r>
          <w:r w:rsidRPr="00466893">
            <w:rPr>
              <w:b/>
              <w:bCs/>
              <w:color w:val="646363"/>
              <w:sz w:val="18"/>
            </w:rPr>
            <w:fldChar w:fldCharType="end"/>
          </w:r>
        </w:p>
      </w:tc>
    </w:tr>
  </w:tbl>
  <w:p w14:paraId="7DF85DDB" w14:textId="77777777" w:rsidR="00430531" w:rsidRDefault="00430531">
    <w:pPr>
      <w:pStyle w:val="Footer"/>
    </w:pPr>
    <w:r w:rsidRPr="00256726">
      <w:rPr>
        <w:noProof/>
      </w:rPr>
      <w:drawing>
        <wp:anchor distT="0" distB="0" distL="114300" distR="114300" simplePos="0" relativeHeight="251662336" behindDoc="0" locked="0" layoutInCell="1" allowOverlap="1" wp14:anchorId="32E29D70" wp14:editId="22D8A7C5">
          <wp:simplePos x="0" y="0"/>
          <wp:positionH relativeFrom="margin">
            <wp:posOffset>-279400</wp:posOffset>
          </wp:positionH>
          <wp:positionV relativeFrom="page">
            <wp:posOffset>10046877</wp:posOffset>
          </wp:positionV>
          <wp:extent cx="1390650" cy="282553"/>
          <wp:effectExtent l="0" t="0" r="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90650" cy="2825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0212C" w14:textId="77777777" w:rsidR="00B46B71" w:rsidRDefault="00B46B71" w:rsidP="00430531">
      <w:pPr>
        <w:spacing w:after="0" w:line="240" w:lineRule="auto"/>
      </w:pPr>
      <w:r>
        <w:separator/>
      </w:r>
    </w:p>
  </w:footnote>
  <w:footnote w:type="continuationSeparator" w:id="0">
    <w:p w14:paraId="2C88271A" w14:textId="77777777" w:rsidR="00B46B71" w:rsidRDefault="00B46B71" w:rsidP="004305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DE2F" w14:textId="77777777" w:rsidR="00430531" w:rsidRDefault="00430531">
    <w:pPr>
      <w:pStyle w:val="Header"/>
    </w:pPr>
    <w:r w:rsidRPr="00430531">
      <w:rPr>
        <w:noProof/>
      </w:rPr>
      <mc:AlternateContent>
        <mc:Choice Requires="wps">
          <w:drawing>
            <wp:anchor distT="0" distB="0" distL="114300" distR="114300" simplePos="0" relativeHeight="251659264" behindDoc="0" locked="0" layoutInCell="1" allowOverlap="1" wp14:anchorId="5299F1D2" wp14:editId="76DEF634">
              <wp:simplePos x="0" y="0"/>
              <wp:positionH relativeFrom="column">
                <wp:posOffset>-914400</wp:posOffset>
              </wp:positionH>
              <wp:positionV relativeFrom="paragraph">
                <wp:posOffset>-451485</wp:posOffset>
              </wp:positionV>
              <wp:extent cx="7653020" cy="287655"/>
              <wp:effectExtent l="0" t="0" r="5080" b="0"/>
              <wp:wrapNone/>
              <wp:docPr id="12" name="Rectangle 12"/>
              <wp:cNvGraphicFramePr/>
              <a:graphic xmlns:a="http://schemas.openxmlformats.org/drawingml/2006/main">
                <a:graphicData uri="http://schemas.microsoft.com/office/word/2010/wordprocessingShape">
                  <wps:wsp>
                    <wps:cNvSpPr/>
                    <wps:spPr>
                      <a:xfrm rot="10800000">
                        <a:off x="0" y="0"/>
                        <a:ext cx="7653020" cy="287655"/>
                      </a:xfrm>
                      <a:prstGeom prst="rect">
                        <a:avLst/>
                      </a:prstGeom>
                      <a:solidFill>
                        <a:srgbClr val="0034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FE0A8" id="Rectangle 12" o:spid="_x0000_s1026" style="position:absolute;margin-left:-1in;margin-top:-35.55pt;width:602.6pt;height:22.65pt;rotation:18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v2chQIAAG4FAAAOAAAAZHJzL2Uyb0RvYy54bWysVFFP2zAQfp+0/2D5fSQtLXQVKapATJMQ&#10;oMHEs+vYbSTH553dpt2v39lOAwOepuXBsn133919+c4Xl/vWsJ1C34Ct+Oik5ExZCXVj1xX/+XTz&#10;ZcaZD8LWwoBVFT8ozy8Xnz9ddG6uxrABUytkBGL9vHMV34Tg5kXh5Ua1wp+AU5aMGrAVgY64LmoU&#10;HaG3phiX5VnRAdYOQSrv6fY6G/ki4WutZLjX2qvATMWptpBWTOsqrsXiQszXKNymkX0Z4h+qaEVj&#10;KekAdS2CYFts3kG1jUTwoMOJhLYArRupUg/Uzah8083jRjiVeiFyvBto8v8PVt7tHt0DEg2d83NP&#10;29jFXmPLEIitUTkr45eao3LZPnF3GLhT+8AkXZ6fTU/LMVEsyTae0XEayS0yWAR16MM3BS2Lm4oj&#10;/ZuEKna3PmTXo0t092Ca+qYxJh1wvboyyHYi/sfydHI+69H/cjM2OluIYRkx3hQvraVdOBgV/Yz9&#10;oTRraqp+nCpJqlNDHiGlsmGUTRtRq5x+mvjI8ENE6jQBRmRN+QfsHiAq+j12hun9Y6hKoh2CM/FD&#10;mlzBsbAcPESkzGDDENw2FvCjzgx11WfO/keSMjWRpRXUhwfMIqC/6p28aei/3QofHgTSjNAlzX24&#10;p0Ub6CoO/Y6zDeDvj+6jP0mXrJx1NHMV97+2AhVn5rslUX8dTSZxSNNhMj2PcsLXltVri922V0By&#10;GKXq0jb6B3PcaoT2mZ6HZcxKJmEl5a64DHg8XIX8FtADI9VymdxoMJ0It/bRyQgeWY26fNo/C3S9&#10;eAPJ/g6O8ynmbzScfWOkheU2gG6SwF947fmmoU7C6R+g+Gq8Pievl2dy8QcAAP//AwBQSwMEFAAG&#10;AAgAAAAhAB0nZ3fjAAAADQEAAA8AAABkcnMvZG93bnJldi54bWxMj8FOwzAQRO9I/IO1SFxQ6zgK&#10;JQpxKgT0wAFVFMTZjU0csNdR7LSBr2d7gtvuzmj2Tb2evWMHM8Y+oASxzIAZbIPusZPw9rpZlMBi&#10;UqiVC2gkfJsI6+b8rFaVDkd8MYdd6hiFYKyUBJvSUHEeW2u8isswGCTtI4xeJVrHjutRHSncO55n&#10;2Yp71SN9sGow99a0X7vJS/h533y6YFM5zf32+fHqocSnopXy8mK+uwWWzJz+zHDCJ3RoiGkfJtSR&#10;OQkLURRUJtF0IwSwkyVbiRzYnk75dQm8qfn/Fs0vAAAA//8DAFBLAQItABQABgAIAAAAIQC2gziS&#10;/gAAAOEBAAATAAAAAAAAAAAAAAAAAAAAAABbQ29udGVudF9UeXBlc10ueG1sUEsBAi0AFAAGAAgA&#10;AAAhADj9If/WAAAAlAEAAAsAAAAAAAAAAAAAAAAALwEAAF9yZWxzLy5yZWxzUEsBAi0AFAAGAAgA&#10;AAAhAFva/ZyFAgAAbgUAAA4AAAAAAAAAAAAAAAAALgIAAGRycy9lMm9Eb2MueG1sUEsBAi0AFAAG&#10;AAgAAAAhAB0nZ3fjAAAADQEAAA8AAAAAAAAAAAAAAAAA3wQAAGRycy9kb3ducmV2LnhtbFBLBQYA&#10;AAAABAAEAPMAAADvBQAAAAA=&#10;" fillcolor="#003478" stroked="f" strokeweight="1pt"/>
          </w:pict>
        </mc:Fallback>
      </mc:AlternateContent>
    </w:r>
    <w:r w:rsidRPr="00430531">
      <w:rPr>
        <w:noProof/>
      </w:rPr>
      <mc:AlternateContent>
        <mc:Choice Requires="wps">
          <w:drawing>
            <wp:anchor distT="0" distB="0" distL="114300" distR="114300" simplePos="0" relativeHeight="251660288" behindDoc="0" locked="0" layoutInCell="1" allowOverlap="1" wp14:anchorId="62981ED3" wp14:editId="00E38143">
              <wp:simplePos x="0" y="0"/>
              <wp:positionH relativeFrom="column">
                <wp:posOffset>2748915</wp:posOffset>
              </wp:positionH>
              <wp:positionV relativeFrom="paragraph">
                <wp:posOffset>-166370</wp:posOffset>
              </wp:positionV>
              <wp:extent cx="323975" cy="172926"/>
              <wp:effectExtent l="0" t="0" r="0" b="0"/>
              <wp:wrapNone/>
              <wp:docPr id="14" name="Tri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flipH="1">
                        <a:off x="0" y="0"/>
                        <a:ext cx="323975" cy="172926"/>
                      </a:xfrm>
                      <a:prstGeom prst="triangle">
                        <a:avLst/>
                      </a:prstGeom>
                      <a:solidFill>
                        <a:srgbClr val="0034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2D3B4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4" o:spid="_x0000_s1026" type="#_x0000_t5" style="position:absolute;margin-left:216.45pt;margin-top:-13.1pt;width:25.5pt;height:13.6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7sloQIAAKcFAAAOAAAAZHJzL2Uyb0RvYy54bWysVE1v2zAMvQ/YfxB0X+2kaZMadYogRbcB&#10;QVusHXpWZCkWJouapMTJfv0o2XGDtdhhmA+CKJKPH37k9c2+0WQnnFdgSjo6yykRhkOlzKak35/v&#10;Ps0o8YGZimkwoqQH4enN/OOH69YWYgw16Eo4giDGF60taR2CLbLM81o0zJ+BFQaVElzDAopuk1WO&#10;tYje6Gyc55dZC66yDrjwHl9vOyWdJ3wpBQ8PUnoRiC4p5hbS6dK5jmc2v2bFxjFbK96nwf4hi4Yp&#10;g0EHqFsWGNk69QaqUdyBBxnOODQZSKm4SDVgNaP8j2qeamZFqgWb4+3QJv//YPn97sk+upi6tyvg&#10;PzwxsKyZ2YiFt9g+/KmxSVlrfTEYR8H3bnvpGuIgGuazPH6USK3sl+gZcbFIsk8dPwwdF/tAOD6e&#10;j8+vpheUcFSNpuOr8WUKxoqIGp2t8+GzgIbES0mDU5iajk1hBdutfIi5vZqlOkCr6k5pnQS3WS+1&#10;IzsWCZCfT6azPoI/NdMmGhuIbh1ifElFd3WmisNBi2inzTchiaqwgHHKJNFVDHEY58KErnpfs0p0&#10;4S9Sczr4wSOlnwAjssT4A3YPEEfhLXYH09tHV5HYPjjnf0uscx48UmQwYXBulAH3HoDGqvrInf2x&#10;SV1rYpfWUB0eXccIpIK3/E7hv1sxHx6Zw+HCR1wY4QEPqaEtKfQ3Smpwv957j/bIedRS0uKwltT/&#10;3DInKNFfDU7D1WgyidOdhMnFdIyCO9WsTzVm2ywB6TBK2aVrtA/6eJUOmhfcK4sYFVXMcIxdUh7c&#10;UViGbongZuJisUhmONGWhZV5svzI/cja5/0Lc/ZIYGT+PRwH+w2HO9v4PwwstgGkSgR/7Wvfb9wG&#10;iTj95orr5lROVq/7df4bAAD//wMAUEsDBBQABgAIAAAAIQDAU/vP3gAAAAkBAAAPAAAAZHJzL2Rv&#10;d25yZXYueG1sTI/BTsMwDIbvSLxDZCQuaEtop3aUphMCMaEdkCh7AK8JbUXjlCbbyttjTnC0/en/&#10;P5eb2Q3iZKfQe9Jwu1QgLDXe9NRq2L8/L9YgQkQyOHiyGr5tgE11eVFiYfyZ3uypjq3gEAoFauhi&#10;HAspQ9NZh2HpR0t8+/CTw8jj1Eoz4ZnD3SATpTLpsCdu6HC0j51tPuuj417Mt0/pi9rnNd102yzf&#10;vTr/pfX11fxwDyLaOf7B8KvP6lCx08EfyQQxaFilyR2jGhZJloBgYrVOeXNgVIGsSvn/g+oHAAD/&#10;/wMAUEsBAi0AFAAGAAgAAAAhALaDOJL+AAAA4QEAABMAAAAAAAAAAAAAAAAAAAAAAFtDb250ZW50&#10;X1R5cGVzXS54bWxQSwECLQAUAAYACAAAACEAOP0h/9YAAACUAQAACwAAAAAAAAAAAAAAAAAvAQAA&#10;X3JlbHMvLnJlbHNQSwECLQAUAAYACAAAACEA0oe7JaECAACnBQAADgAAAAAAAAAAAAAAAAAuAgAA&#10;ZHJzL2Uyb0RvYy54bWxQSwECLQAUAAYACAAAACEAwFP7z94AAAAJAQAADwAAAAAAAAAAAAAAAAD7&#10;BAAAZHJzL2Rvd25yZXYueG1sUEsFBgAAAAAEAAQA8wAAAAYGAAAAAA==&#10;" fillcolor="#003478" stroked="f" strokeweight="1pt">
              <o:lock v:ext="edit" aspectratio="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A7FE6"/>
    <w:multiLevelType w:val="hybridMultilevel"/>
    <w:tmpl w:val="56FA3CF2"/>
    <w:lvl w:ilvl="0" w:tplc="BEB4A0D6">
      <w:start w:val="1"/>
      <w:numFmt w:val="bullet"/>
      <w:lvlText w:val="4"/>
      <w:lvlJc w:val="left"/>
      <w:pPr>
        <w:ind w:left="720" w:hanging="360"/>
      </w:pPr>
      <w:rPr>
        <w:rFonts w:ascii="Webdings" w:hAnsi="Webdings" w:hint="default"/>
        <w:color w:val="BED600"/>
      </w:rPr>
    </w:lvl>
    <w:lvl w:ilvl="1" w:tplc="E3E8D4B0">
      <w:start w:val="1"/>
      <w:numFmt w:val="bullet"/>
      <w:lvlText w:val=""/>
      <w:lvlJc w:val="left"/>
      <w:pPr>
        <w:ind w:left="1440" w:hanging="360"/>
      </w:pPr>
      <w:rPr>
        <w:rFonts w:ascii="Wingdings" w:hAnsi="Wingdings" w:hint="default"/>
        <w:color w:val="BED600"/>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1B5569"/>
    <w:multiLevelType w:val="hybridMultilevel"/>
    <w:tmpl w:val="A02AE6A4"/>
    <w:lvl w:ilvl="0" w:tplc="DFA43A38">
      <w:numFmt w:val="bullet"/>
      <w:lvlText w:val="•"/>
      <w:lvlJc w:val="left"/>
      <w:pPr>
        <w:ind w:left="2880" w:hanging="360"/>
      </w:pPr>
      <w:rPr>
        <w:rFonts w:ascii="Calibri" w:eastAsiaTheme="minorHAnsi" w:hAnsi="Calibri" w:cs="Calibri" w:hint="default"/>
        <w:color w:val="BED60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475680967">
    <w:abstractNumId w:val="0"/>
  </w:num>
  <w:num w:numId="2" w16cid:durableId="1982298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31"/>
    <w:rsid w:val="00061C4F"/>
    <w:rsid w:val="000A46F0"/>
    <w:rsid w:val="000E666E"/>
    <w:rsid w:val="00102B24"/>
    <w:rsid w:val="00134E26"/>
    <w:rsid w:val="00173742"/>
    <w:rsid w:val="001C703D"/>
    <w:rsid w:val="003B12D1"/>
    <w:rsid w:val="00430531"/>
    <w:rsid w:val="00466893"/>
    <w:rsid w:val="004D4E71"/>
    <w:rsid w:val="005B4720"/>
    <w:rsid w:val="006153D5"/>
    <w:rsid w:val="00695C62"/>
    <w:rsid w:val="006D10EA"/>
    <w:rsid w:val="006D3BA6"/>
    <w:rsid w:val="00725685"/>
    <w:rsid w:val="00947F37"/>
    <w:rsid w:val="00A47307"/>
    <w:rsid w:val="00A62807"/>
    <w:rsid w:val="00B46B71"/>
    <w:rsid w:val="00BF4D87"/>
    <w:rsid w:val="00BF5F83"/>
    <w:rsid w:val="00C41909"/>
    <w:rsid w:val="00DA5331"/>
    <w:rsid w:val="00DF266D"/>
    <w:rsid w:val="00E94B45"/>
    <w:rsid w:val="00EB07DD"/>
    <w:rsid w:val="00F03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F8BCE4"/>
  <w15:chartTrackingRefBased/>
  <w15:docId w15:val="{0DDF6D1B-84CC-4017-8870-83B2BDB2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531"/>
  </w:style>
  <w:style w:type="paragraph" w:styleId="Footer">
    <w:name w:val="footer"/>
    <w:basedOn w:val="Normal"/>
    <w:link w:val="FooterChar"/>
    <w:uiPriority w:val="99"/>
    <w:unhideWhenUsed/>
    <w:rsid w:val="00430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531"/>
  </w:style>
  <w:style w:type="table" w:styleId="TableGrid">
    <w:name w:val="Table Grid"/>
    <w:basedOn w:val="TableNormal"/>
    <w:uiPriority w:val="39"/>
    <w:rsid w:val="004305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531"/>
    <w:pPr>
      <w:spacing w:after="0" w:line="240" w:lineRule="auto"/>
      <w:ind w:left="720"/>
      <w:contextualSpacing/>
    </w:pPr>
    <w:rPr>
      <w:sz w:val="24"/>
      <w:szCs w:val="24"/>
    </w:rPr>
  </w:style>
  <w:style w:type="character" w:styleId="Hyperlink">
    <w:name w:val="Hyperlink"/>
    <w:basedOn w:val="DefaultParagraphFont"/>
    <w:uiPriority w:val="99"/>
    <w:unhideWhenUsed/>
    <w:rsid w:val="000A46F0"/>
    <w:rPr>
      <w:color w:val="0563C1" w:themeColor="hyperlink"/>
      <w:u w:val="single"/>
    </w:rPr>
  </w:style>
  <w:style w:type="character" w:styleId="UnresolvedMention">
    <w:name w:val="Unresolved Mention"/>
    <w:basedOn w:val="DefaultParagraphFont"/>
    <w:uiPriority w:val="99"/>
    <w:semiHidden/>
    <w:unhideWhenUsed/>
    <w:rsid w:val="000A4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keepmoat.com/getmedia/09439d0e-1672-4132-b4ec-436e88331f7c/Pre-lim-SROI-12012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008DBE9080440BB128E061E0DE453" ma:contentTypeVersion="13" ma:contentTypeDescription="Create a new document." ma:contentTypeScope="" ma:versionID="581306f2f91d61ccffb1cc037f998170">
  <xsd:schema xmlns:xsd="http://www.w3.org/2001/XMLSchema" xmlns:xs="http://www.w3.org/2001/XMLSchema" xmlns:p="http://schemas.microsoft.com/office/2006/metadata/properties" xmlns:ns2="0665d564-8b46-4ffa-9aad-c52d54d0d821" xmlns:ns3="07c311f1-c150-495d-a706-07161a8f2441" targetNamespace="http://schemas.microsoft.com/office/2006/metadata/properties" ma:root="true" ma:fieldsID="50e0056616cd4513fb05666bd77142a0" ns2:_="" ns3:_="">
    <xsd:import namespace="0665d564-8b46-4ffa-9aad-c52d54d0d821"/>
    <xsd:import namespace="07c311f1-c150-495d-a706-07161a8f24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5d564-8b46-4ffa-9aad-c52d54d0d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4028683-f411-4d43-9eb0-6e8f4305b9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c311f1-c150-495d-a706-07161a8f244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76b72d8-f9b5-4d91-9d8f-1f93a181c239}" ma:internalName="TaxCatchAll" ma:showField="CatchAllData" ma:web="07c311f1-c150-495d-a706-07161a8f24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665d564-8b46-4ffa-9aad-c52d54d0d821">
      <Terms xmlns="http://schemas.microsoft.com/office/infopath/2007/PartnerControls"/>
    </lcf76f155ced4ddcb4097134ff3c332f>
    <TaxCatchAll xmlns="07c311f1-c150-495d-a706-07161a8f24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2F448-7790-492C-A39D-1F7D57DD4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5d564-8b46-4ffa-9aad-c52d54d0d821"/>
    <ds:schemaRef ds:uri="07c311f1-c150-495d-a706-07161a8f24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1E865-3F97-40DA-ABE7-E09419747B0A}">
  <ds:schemaRefs>
    <ds:schemaRef ds:uri="http://schemas.microsoft.com/office/2006/metadata/properties"/>
    <ds:schemaRef ds:uri="http://schemas.microsoft.com/office/infopath/2007/PartnerControls"/>
    <ds:schemaRef ds:uri="0665d564-8b46-4ffa-9aad-c52d54d0d821"/>
    <ds:schemaRef ds:uri="07c311f1-c150-495d-a706-07161a8f2441"/>
  </ds:schemaRefs>
</ds:datastoreItem>
</file>

<file path=customXml/itemProps3.xml><?xml version="1.0" encoding="utf-8"?>
<ds:datastoreItem xmlns:ds="http://schemas.openxmlformats.org/officeDocument/2006/customXml" ds:itemID="{9AE20E33-9402-47AB-A1CE-1026B1CC06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Crooks</dc:creator>
  <cp:keywords/>
  <dc:description/>
  <cp:lastModifiedBy>John Bowden</cp:lastModifiedBy>
  <cp:revision>3</cp:revision>
  <dcterms:created xsi:type="dcterms:W3CDTF">2024-04-05T16:17:00Z</dcterms:created>
  <dcterms:modified xsi:type="dcterms:W3CDTF">2024-04-08T12:05:00Z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0x010100077008DBE9080440BB128E061E0DE453</vt:lpwstr>
  </property>
</Properties>
</file>