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7D96" w14:textId="789C0B1B" w:rsidR="00430531" w:rsidRDefault="008B763B" w:rsidP="00430531">
      <w:pPr>
        <w:rPr>
          <w:rFonts w:asciiTheme="majorHAnsi" w:hAnsiTheme="majorHAnsi" w:cstheme="majorHAnsi"/>
          <w:color w:val="003478"/>
          <w:sz w:val="28"/>
        </w:rPr>
      </w:pPr>
      <w:r>
        <w:rPr>
          <w:rFonts w:asciiTheme="majorHAnsi" w:hAnsiTheme="majorHAnsi" w:cstheme="majorHAnsi"/>
          <w:color w:val="003478"/>
          <w:sz w:val="44"/>
        </w:rPr>
        <w:t xml:space="preserve">Valuing Difference </w:t>
      </w:r>
      <w:r w:rsidR="00F3547A">
        <w:rPr>
          <w:rFonts w:asciiTheme="majorHAnsi" w:hAnsiTheme="majorHAnsi" w:cstheme="majorHAnsi"/>
          <w:color w:val="003478"/>
          <w:sz w:val="44"/>
        </w:rPr>
        <w:t>p</w:t>
      </w:r>
      <w:r>
        <w:rPr>
          <w:rFonts w:asciiTheme="majorHAnsi" w:hAnsiTheme="majorHAnsi" w:cstheme="majorHAnsi"/>
          <w:color w:val="003478"/>
          <w:sz w:val="44"/>
        </w:rPr>
        <w:t xml:space="preserve">rogramme: </w:t>
      </w:r>
      <w:r w:rsidR="00D62734">
        <w:rPr>
          <w:rFonts w:asciiTheme="majorHAnsi" w:hAnsiTheme="majorHAnsi" w:cstheme="majorHAnsi"/>
          <w:color w:val="003478"/>
          <w:sz w:val="44"/>
        </w:rPr>
        <w:t>mobilising colleagues around sustainability</w:t>
      </w:r>
    </w:p>
    <w:p w14:paraId="7E61A07A" w14:textId="5FF0B9FA" w:rsidR="00430531" w:rsidRDefault="00F3547A" w:rsidP="00430531">
      <w:pPr>
        <w:rPr>
          <w:rFonts w:asciiTheme="majorHAnsi" w:hAnsiTheme="majorHAnsi" w:cstheme="majorHAnsi"/>
          <w:color w:val="BED600"/>
          <w:sz w:val="40"/>
        </w:rPr>
      </w:pPr>
      <w:r>
        <w:rPr>
          <w:rFonts w:asciiTheme="majorHAnsi" w:hAnsiTheme="majorHAnsi" w:cstheme="majorHAnsi"/>
          <w:color w:val="BED600"/>
          <w:sz w:val="40"/>
        </w:rPr>
        <w:t>Case study</w:t>
      </w:r>
    </w:p>
    <w:p w14:paraId="1DA1DFA4" w14:textId="77777777" w:rsidR="00F3547A" w:rsidRDefault="00F3547A" w:rsidP="00430531">
      <w:pPr>
        <w:rPr>
          <w:rFonts w:ascii="Calibri" w:hAnsi="Calibri" w:cs="Calibri"/>
          <w:color w:val="646363"/>
        </w:rPr>
      </w:pPr>
    </w:p>
    <w:p w14:paraId="090AF91A" w14:textId="568BE21A" w:rsidR="00F3547A" w:rsidRDefault="00F3547A" w:rsidP="00430531">
      <w:p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 xml:space="preserve">As a partnership homebuilder, Keepmoat develops many places in close collaboration with Homes England, local authorities, registered </w:t>
      </w:r>
      <w:proofErr w:type="gramStart"/>
      <w:r>
        <w:rPr>
          <w:rFonts w:ascii="Calibri" w:hAnsi="Calibri" w:cs="Calibri"/>
          <w:color w:val="646363"/>
        </w:rPr>
        <w:t>providers</w:t>
      </w:r>
      <w:proofErr w:type="gramEnd"/>
      <w:r>
        <w:rPr>
          <w:rFonts w:ascii="Calibri" w:hAnsi="Calibri" w:cs="Calibri"/>
          <w:color w:val="646363"/>
        </w:rPr>
        <w:t xml:space="preserve"> and private landowners.</w:t>
      </w:r>
    </w:p>
    <w:p w14:paraId="4338A9C9" w14:textId="2F06A443" w:rsidR="00F3547A" w:rsidRDefault="00F3547A" w:rsidP="00430531">
      <w:p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>Sustainable development is a crucial consideration of our partners who are charged with tackling many different issues – access to housing, climate change, biodiversity and growing local economies that work for all. This is just to name a few.</w:t>
      </w:r>
    </w:p>
    <w:p w14:paraId="079E4D5A" w14:textId="0CE9C6C8" w:rsidR="00F3547A" w:rsidRDefault="00F3547A" w:rsidP="00430531">
      <w:p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>We wanted to bring these partners together with our workforce to illustrate how we are all working towards a sustainable Vision, with the aim of strengthening relationships and increasing colleague engagement in sustainability.</w:t>
      </w:r>
    </w:p>
    <w:p w14:paraId="5E615707" w14:textId="77777777" w:rsidR="00F3547A" w:rsidRDefault="00F3547A" w:rsidP="00430531">
      <w:pPr>
        <w:rPr>
          <w:rFonts w:ascii="Calibri" w:hAnsi="Calibri" w:cs="Calibri"/>
          <w:color w:val="646363"/>
        </w:rPr>
      </w:pPr>
    </w:p>
    <w:p w14:paraId="319BA234" w14:textId="7F1686DD" w:rsidR="00F3547A" w:rsidRDefault="00F3547A" w:rsidP="00430531">
      <w:pPr>
        <w:rPr>
          <w:rFonts w:asciiTheme="majorHAnsi" w:hAnsiTheme="majorHAnsi" w:cstheme="majorHAnsi"/>
          <w:color w:val="003478"/>
          <w:sz w:val="36"/>
        </w:rPr>
      </w:pPr>
      <w:r>
        <w:rPr>
          <w:rFonts w:asciiTheme="majorHAnsi" w:hAnsiTheme="majorHAnsi" w:cstheme="majorHAnsi"/>
          <w:color w:val="003478"/>
          <w:sz w:val="36"/>
        </w:rPr>
        <w:t>Valuing Difference</w:t>
      </w:r>
    </w:p>
    <w:p w14:paraId="3522DE0E" w14:textId="2D190ED3" w:rsidR="00F3547A" w:rsidRDefault="00D62734" w:rsidP="00430531">
      <w:p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>This idea was incorporated into Keepmoat’s internal Valuing Difference 2024 programme, which aims to demonstrate Keepmoat’s employer valuing proposition through a year</w:t>
      </w:r>
      <w:r w:rsidR="00A56221">
        <w:rPr>
          <w:rFonts w:ascii="Calibri" w:hAnsi="Calibri" w:cs="Calibri"/>
          <w:color w:val="646363"/>
        </w:rPr>
        <w:t>-</w:t>
      </w:r>
      <w:r>
        <w:rPr>
          <w:rFonts w:ascii="Calibri" w:hAnsi="Calibri" w:cs="Calibri"/>
          <w:color w:val="646363"/>
        </w:rPr>
        <w:t xml:space="preserve">long timetable of activities centred around company values. April was dedicated as </w:t>
      </w:r>
      <w:r w:rsidR="00963FF2">
        <w:rPr>
          <w:rFonts w:ascii="Calibri" w:hAnsi="Calibri" w:cs="Calibri"/>
          <w:color w:val="646363"/>
        </w:rPr>
        <w:t>s</w:t>
      </w:r>
      <w:r>
        <w:rPr>
          <w:rFonts w:ascii="Calibri" w:hAnsi="Calibri" w:cs="Calibri"/>
          <w:color w:val="646363"/>
        </w:rPr>
        <w:t xml:space="preserve">ustainability </w:t>
      </w:r>
      <w:r w:rsidR="00963FF2">
        <w:rPr>
          <w:rFonts w:ascii="Calibri" w:hAnsi="Calibri" w:cs="Calibri"/>
          <w:color w:val="646363"/>
        </w:rPr>
        <w:t>m</w:t>
      </w:r>
      <w:r>
        <w:rPr>
          <w:rFonts w:ascii="Calibri" w:hAnsi="Calibri" w:cs="Calibri"/>
          <w:color w:val="646363"/>
        </w:rPr>
        <w:t>onth, aligned to our ‘Passionate</w:t>
      </w:r>
      <w:r w:rsidR="00963FF2">
        <w:rPr>
          <w:rFonts w:ascii="Calibri" w:hAnsi="Calibri" w:cs="Calibri"/>
          <w:color w:val="646363"/>
        </w:rPr>
        <w:t>’</w:t>
      </w:r>
      <w:r>
        <w:rPr>
          <w:rFonts w:ascii="Calibri" w:hAnsi="Calibri" w:cs="Calibri"/>
          <w:color w:val="646363"/>
        </w:rPr>
        <w:t xml:space="preserve"> company value.</w:t>
      </w:r>
    </w:p>
    <w:p w14:paraId="569FFEEC" w14:textId="2502469C" w:rsidR="00D62734" w:rsidRPr="00F3547A" w:rsidRDefault="00D62734" w:rsidP="00430531">
      <w:pPr>
        <w:rPr>
          <w:rFonts w:asciiTheme="majorHAnsi" w:hAnsiTheme="majorHAnsi" w:cstheme="majorHAnsi"/>
          <w:color w:val="003478"/>
          <w:sz w:val="36"/>
        </w:rPr>
      </w:pPr>
      <w:r>
        <w:rPr>
          <w:rFonts w:ascii="Calibri" w:hAnsi="Calibri" w:cs="Calibri"/>
          <w:color w:val="646363"/>
        </w:rPr>
        <w:t>A series of nine ‘Lunch and Learn’ webinars was set up on the theme of ‘Building Communities Transforming Lives in Partnership’, with most sessions including an external speaker from a Keepmoat partner, and most chaired by representative of Keepmoat’s Executive Committee.</w:t>
      </w:r>
    </w:p>
    <w:p w14:paraId="1D7CC600" w14:textId="77777777" w:rsidR="00F3547A" w:rsidRDefault="00F3547A" w:rsidP="00963FF2"/>
    <w:p w14:paraId="025654AC" w14:textId="5FC0D325" w:rsidR="00430531" w:rsidRDefault="00DD1303" w:rsidP="00430531">
      <w:pPr>
        <w:rPr>
          <w:rFonts w:asciiTheme="majorHAnsi" w:hAnsiTheme="majorHAnsi" w:cstheme="majorHAnsi"/>
          <w:color w:val="003478"/>
          <w:sz w:val="36"/>
        </w:rPr>
      </w:pPr>
      <w:r>
        <w:rPr>
          <w:rFonts w:asciiTheme="majorHAnsi" w:hAnsiTheme="majorHAnsi" w:cstheme="majorHAnsi"/>
          <w:color w:val="003478"/>
          <w:sz w:val="36"/>
        </w:rPr>
        <w:t xml:space="preserve">What did the </w:t>
      </w:r>
      <w:r w:rsidR="006372D7">
        <w:rPr>
          <w:rFonts w:asciiTheme="majorHAnsi" w:hAnsiTheme="majorHAnsi" w:cstheme="majorHAnsi"/>
          <w:color w:val="003478"/>
          <w:sz w:val="36"/>
        </w:rPr>
        <w:t>programme cover?</w:t>
      </w:r>
    </w:p>
    <w:p w14:paraId="38D74B58" w14:textId="0DB0377E" w:rsidR="00F3547A" w:rsidRDefault="00D62734" w:rsidP="00430531">
      <w:p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>The programme was launched with two all-employee virtual team talks delivered by the CEO and Sustainability Director to explain the importance of Keepmoat’s Vision and publicise the upcoming programme.</w:t>
      </w:r>
    </w:p>
    <w:p w14:paraId="069DF92F" w14:textId="2B774688" w:rsidR="00D62734" w:rsidRDefault="00D62734" w:rsidP="00430531">
      <w:p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>It was followed by nine sessions on sustainability and social value themes with speakers including senior leaders from:</w:t>
      </w:r>
    </w:p>
    <w:p w14:paraId="15EF0990" w14:textId="4B89EF1C" w:rsidR="00D62734" w:rsidRDefault="00D62734" w:rsidP="00D62734">
      <w:pPr>
        <w:pStyle w:val="ListParagraph"/>
        <w:numPr>
          <w:ilvl w:val="0"/>
          <w:numId w:val="3"/>
        </w:num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>Stark Building Materials.</w:t>
      </w:r>
    </w:p>
    <w:p w14:paraId="3F5928FE" w14:textId="05A6DF64" w:rsidR="00D62734" w:rsidRDefault="00D62734" w:rsidP="00D62734">
      <w:pPr>
        <w:pStyle w:val="ListParagraph"/>
        <w:numPr>
          <w:ilvl w:val="0"/>
          <w:numId w:val="3"/>
        </w:num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>Homes England.</w:t>
      </w:r>
    </w:p>
    <w:p w14:paraId="1023BFD1" w14:textId="6DD4A71D" w:rsidR="00D62734" w:rsidRDefault="00D62734" w:rsidP="00D62734">
      <w:pPr>
        <w:pStyle w:val="ListParagraph"/>
        <w:numPr>
          <w:ilvl w:val="0"/>
          <w:numId w:val="3"/>
        </w:num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>Leeds Building Society.</w:t>
      </w:r>
    </w:p>
    <w:p w14:paraId="71393CDE" w14:textId="77777777" w:rsidR="00D62734" w:rsidRPr="00D62734" w:rsidRDefault="00D62734" w:rsidP="00D62734">
      <w:pPr>
        <w:rPr>
          <w:rFonts w:ascii="Calibri" w:hAnsi="Calibri" w:cs="Calibri"/>
          <w:color w:val="646363"/>
        </w:rPr>
      </w:pPr>
    </w:p>
    <w:p w14:paraId="7DD38139" w14:textId="238F605B" w:rsidR="00963FF2" w:rsidRDefault="00963FF2">
      <w:p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br w:type="page"/>
      </w:r>
    </w:p>
    <w:p w14:paraId="523FC7F4" w14:textId="5BB39920" w:rsidR="006D10EA" w:rsidRDefault="00A56221">
      <w:pPr>
        <w:rPr>
          <w:rFonts w:asciiTheme="majorHAnsi" w:hAnsiTheme="majorHAnsi" w:cstheme="majorHAnsi"/>
          <w:color w:val="003478"/>
          <w:sz w:val="36"/>
        </w:rPr>
      </w:pPr>
      <w:r>
        <w:rPr>
          <w:rFonts w:asciiTheme="majorHAnsi" w:hAnsiTheme="majorHAnsi" w:cstheme="majorHAnsi"/>
          <w:color w:val="003478"/>
          <w:sz w:val="36"/>
        </w:rPr>
        <w:lastRenderedPageBreak/>
        <w:t>Results</w:t>
      </w:r>
    </w:p>
    <w:p w14:paraId="4D73BF1C" w14:textId="6170425A" w:rsidR="00A56221" w:rsidRDefault="00A56221">
      <w:p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>The first session attracted c. 170 colleagues – approximately 15% of Keepmoat’s workforce.</w:t>
      </w:r>
    </w:p>
    <w:p w14:paraId="010033A5" w14:textId="07B2C0B3" w:rsidR="00A56221" w:rsidRDefault="00A56221">
      <w:pPr>
        <w:rPr>
          <w:rFonts w:ascii="Calibri" w:hAnsi="Calibri" w:cs="Calibri"/>
          <w:color w:val="646363"/>
        </w:rPr>
      </w:pPr>
      <w:r>
        <w:rPr>
          <w:rFonts w:ascii="Calibri" w:hAnsi="Calibri" w:cs="Calibri"/>
          <w:color w:val="646363"/>
        </w:rPr>
        <w:t>At the end of the programme a survey will be sent out to all colleagues for further information on the quality of the sessions and learning and engagement outcomes.</w:t>
      </w:r>
    </w:p>
    <w:p w14:paraId="18FCFA19" w14:textId="0111E611" w:rsidR="00A56221" w:rsidRDefault="00A56221">
      <w:r>
        <w:rPr>
          <w:rFonts w:ascii="Calibri" w:hAnsi="Calibri" w:cs="Calibri"/>
          <w:color w:val="646363"/>
        </w:rPr>
        <w:t>This case study will be updated to reflect those results.</w:t>
      </w:r>
    </w:p>
    <w:sectPr w:rsidR="00A56221" w:rsidSect="00701DB7">
      <w:headerReference w:type="default" r:id="rId10"/>
      <w:footerReference w:type="default" r:id="rId11"/>
      <w:pgSz w:w="11906" w:h="16838"/>
      <w:pgMar w:top="1440" w:right="1440" w:bottom="1440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4B25" w14:textId="77777777" w:rsidR="00701DB7" w:rsidRDefault="00701DB7" w:rsidP="00430531">
      <w:pPr>
        <w:spacing w:after="0" w:line="240" w:lineRule="auto"/>
      </w:pPr>
      <w:r>
        <w:separator/>
      </w:r>
    </w:p>
  </w:endnote>
  <w:endnote w:type="continuationSeparator" w:id="0">
    <w:p w14:paraId="1305C2F9" w14:textId="77777777" w:rsidR="00701DB7" w:rsidRDefault="00701DB7" w:rsidP="0043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806" w:type="dxa"/>
      <w:tblInd w:w="3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850"/>
      <w:gridCol w:w="1560"/>
      <w:gridCol w:w="1561"/>
    </w:tblGrid>
    <w:tr w:rsidR="00466893" w:rsidRPr="00256726" w14:paraId="19FF9B5F" w14:textId="77777777" w:rsidTr="00466893">
      <w:trPr>
        <w:trHeight w:val="253"/>
      </w:trPr>
      <w:tc>
        <w:tcPr>
          <w:tcW w:w="2835" w:type="dxa"/>
          <w:shd w:val="clear" w:color="auto" w:fill="auto"/>
        </w:tcPr>
        <w:p w14:paraId="15BB25E7" w14:textId="35362F8C" w:rsidR="00466893" w:rsidRPr="00256726" w:rsidRDefault="00466893" w:rsidP="00430531">
          <w:pPr>
            <w:pStyle w:val="Footer"/>
            <w:rPr>
              <w:b/>
              <w:color w:val="646363"/>
              <w:sz w:val="18"/>
            </w:rPr>
          </w:pPr>
        </w:p>
      </w:tc>
      <w:tc>
        <w:tcPr>
          <w:tcW w:w="850" w:type="dxa"/>
        </w:tcPr>
        <w:p w14:paraId="47A9D294" w14:textId="116A4718" w:rsidR="00466893" w:rsidRPr="00256726" w:rsidRDefault="00466893" w:rsidP="00430531">
          <w:pPr>
            <w:pStyle w:val="Footer"/>
            <w:rPr>
              <w:b/>
              <w:color w:val="646363"/>
              <w:sz w:val="18"/>
            </w:rPr>
          </w:pPr>
        </w:p>
      </w:tc>
      <w:tc>
        <w:tcPr>
          <w:tcW w:w="1560" w:type="dxa"/>
          <w:shd w:val="clear" w:color="auto" w:fill="auto"/>
        </w:tcPr>
        <w:p w14:paraId="5900526D" w14:textId="2ABB1DC0" w:rsidR="00466893" w:rsidRPr="00256726" w:rsidRDefault="00466893" w:rsidP="00430531">
          <w:pPr>
            <w:pStyle w:val="Footer"/>
            <w:rPr>
              <w:color w:val="646363"/>
              <w:sz w:val="18"/>
            </w:rPr>
          </w:pPr>
          <w:r w:rsidRPr="00256726">
            <w:rPr>
              <w:b/>
              <w:color w:val="646363"/>
              <w:sz w:val="18"/>
            </w:rPr>
            <w:t>Date:</w:t>
          </w:r>
          <w:r>
            <w:rPr>
              <w:b/>
              <w:color w:val="646363"/>
              <w:sz w:val="18"/>
            </w:rPr>
            <w:t xml:space="preserve"> </w:t>
          </w:r>
          <w:r w:rsidR="00A56221">
            <w:rPr>
              <w:b/>
              <w:color w:val="646363"/>
              <w:sz w:val="18"/>
            </w:rPr>
            <w:t>05</w:t>
          </w:r>
          <w:r w:rsidRPr="00256726">
            <w:rPr>
              <w:color w:val="646363"/>
              <w:sz w:val="18"/>
            </w:rPr>
            <w:t>/</w:t>
          </w:r>
          <w:r w:rsidR="00A56221">
            <w:rPr>
              <w:color w:val="646363"/>
              <w:sz w:val="18"/>
            </w:rPr>
            <w:t>04</w:t>
          </w:r>
          <w:r w:rsidRPr="00256726">
            <w:rPr>
              <w:color w:val="646363"/>
              <w:sz w:val="18"/>
            </w:rPr>
            <w:t>/</w:t>
          </w:r>
          <w:r w:rsidR="00A56221">
            <w:rPr>
              <w:color w:val="646363"/>
              <w:sz w:val="18"/>
            </w:rPr>
            <w:t>24</w:t>
          </w:r>
        </w:p>
      </w:tc>
      <w:tc>
        <w:tcPr>
          <w:tcW w:w="1561" w:type="dxa"/>
          <w:shd w:val="clear" w:color="auto" w:fill="auto"/>
        </w:tcPr>
        <w:p w14:paraId="7C67178E" w14:textId="77777777" w:rsidR="00466893" w:rsidRPr="00256726" w:rsidRDefault="00466893" w:rsidP="00430531">
          <w:pPr>
            <w:pStyle w:val="Footer"/>
            <w:rPr>
              <w:color w:val="646363"/>
              <w:sz w:val="18"/>
            </w:rPr>
          </w:pPr>
          <w:r w:rsidRPr="00466893">
            <w:rPr>
              <w:color w:val="646363"/>
              <w:sz w:val="18"/>
            </w:rPr>
            <w:t xml:space="preserve">Page </w:t>
          </w:r>
          <w:r w:rsidRPr="00466893">
            <w:rPr>
              <w:b/>
              <w:bCs/>
              <w:color w:val="646363"/>
              <w:sz w:val="18"/>
            </w:rPr>
            <w:fldChar w:fldCharType="begin"/>
          </w:r>
          <w:r w:rsidRPr="00466893">
            <w:rPr>
              <w:b/>
              <w:bCs/>
              <w:color w:val="646363"/>
              <w:sz w:val="18"/>
            </w:rPr>
            <w:instrText xml:space="preserve"> PAGE  \* Arabic  \* MERGEFORMAT </w:instrText>
          </w:r>
          <w:r w:rsidRPr="00466893">
            <w:rPr>
              <w:b/>
              <w:bCs/>
              <w:color w:val="646363"/>
              <w:sz w:val="18"/>
            </w:rPr>
            <w:fldChar w:fldCharType="separate"/>
          </w:r>
          <w:r w:rsidRPr="00466893">
            <w:rPr>
              <w:b/>
              <w:bCs/>
              <w:noProof/>
              <w:color w:val="646363"/>
              <w:sz w:val="18"/>
            </w:rPr>
            <w:t>1</w:t>
          </w:r>
          <w:r w:rsidRPr="00466893">
            <w:rPr>
              <w:b/>
              <w:bCs/>
              <w:color w:val="646363"/>
              <w:sz w:val="18"/>
            </w:rPr>
            <w:fldChar w:fldCharType="end"/>
          </w:r>
          <w:r w:rsidRPr="00466893">
            <w:rPr>
              <w:color w:val="646363"/>
              <w:sz w:val="18"/>
            </w:rPr>
            <w:t xml:space="preserve"> of </w:t>
          </w:r>
          <w:r w:rsidRPr="00466893">
            <w:rPr>
              <w:b/>
              <w:bCs/>
              <w:color w:val="646363"/>
              <w:sz w:val="18"/>
            </w:rPr>
            <w:fldChar w:fldCharType="begin"/>
          </w:r>
          <w:r w:rsidRPr="00466893">
            <w:rPr>
              <w:b/>
              <w:bCs/>
              <w:color w:val="646363"/>
              <w:sz w:val="18"/>
            </w:rPr>
            <w:instrText xml:space="preserve"> NUMPAGES  \* Arabic  \* MERGEFORMAT </w:instrText>
          </w:r>
          <w:r w:rsidRPr="00466893">
            <w:rPr>
              <w:b/>
              <w:bCs/>
              <w:color w:val="646363"/>
              <w:sz w:val="18"/>
            </w:rPr>
            <w:fldChar w:fldCharType="separate"/>
          </w:r>
          <w:r w:rsidRPr="00466893">
            <w:rPr>
              <w:b/>
              <w:bCs/>
              <w:noProof/>
              <w:color w:val="646363"/>
              <w:sz w:val="18"/>
            </w:rPr>
            <w:t>2</w:t>
          </w:r>
          <w:r w:rsidRPr="00466893">
            <w:rPr>
              <w:b/>
              <w:bCs/>
              <w:color w:val="646363"/>
              <w:sz w:val="18"/>
            </w:rPr>
            <w:fldChar w:fldCharType="end"/>
          </w:r>
        </w:p>
      </w:tc>
    </w:tr>
  </w:tbl>
  <w:p w14:paraId="7DF85DDB" w14:textId="77777777" w:rsidR="00430531" w:rsidRDefault="00430531">
    <w:pPr>
      <w:pStyle w:val="Footer"/>
    </w:pPr>
    <w:r w:rsidRPr="00256726">
      <w:rPr>
        <w:noProof/>
      </w:rPr>
      <w:drawing>
        <wp:anchor distT="0" distB="0" distL="114300" distR="114300" simplePos="0" relativeHeight="251662336" behindDoc="0" locked="0" layoutInCell="1" allowOverlap="1" wp14:anchorId="32E29D70" wp14:editId="22D8A7C5">
          <wp:simplePos x="0" y="0"/>
          <wp:positionH relativeFrom="margin">
            <wp:posOffset>-279400</wp:posOffset>
          </wp:positionH>
          <wp:positionV relativeFrom="page">
            <wp:posOffset>10046877</wp:posOffset>
          </wp:positionV>
          <wp:extent cx="1390650" cy="282553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282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93BA" w14:textId="77777777" w:rsidR="00701DB7" w:rsidRDefault="00701DB7" w:rsidP="00430531">
      <w:pPr>
        <w:spacing w:after="0" w:line="240" w:lineRule="auto"/>
      </w:pPr>
      <w:r>
        <w:separator/>
      </w:r>
    </w:p>
  </w:footnote>
  <w:footnote w:type="continuationSeparator" w:id="0">
    <w:p w14:paraId="0F5068D9" w14:textId="77777777" w:rsidR="00701DB7" w:rsidRDefault="00701DB7" w:rsidP="0043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DE2F" w14:textId="77777777" w:rsidR="00430531" w:rsidRDefault="00430531">
    <w:pPr>
      <w:pStyle w:val="Header"/>
    </w:pPr>
    <w:r w:rsidRPr="004305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9F1D2" wp14:editId="76DEF634">
              <wp:simplePos x="0" y="0"/>
              <wp:positionH relativeFrom="column">
                <wp:posOffset>-914400</wp:posOffset>
              </wp:positionH>
              <wp:positionV relativeFrom="paragraph">
                <wp:posOffset>-451485</wp:posOffset>
              </wp:positionV>
              <wp:extent cx="7653020" cy="287655"/>
              <wp:effectExtent l="0" t="0" r="508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53020" cy="287655"/>
                      </a:xfrm>
                      <a:prstGeom prst="rect">
                        <a:avLst/>
                      </a:prstGeom>
                      <a:solidFill>
                        <a:srgbClr val="0034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3DD92F" id="Rectangle 12" o:spid="_x0000_s1026" style="position:absolute;margin-left:-1in;margin-top:-35.55pt;width:602.6pt;height:22.6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" fillcolor="#003478" stroked="f" strokeweight="1pt"/>
          </w:pict>
        </mc:Fallback>
      </mc:AlternateContent>
    </w:r>
    <w:r w:rsidRPr="0043053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81ED3" wp14:editId="00E38143">
              <wp:simplePos x="0" y="0"/>
              <wp:positionH relativeFrom="column">
                <wp:posOffset>2748915</wp:posOffset>
              </wp:positionH>
              <wp:positionV relativeFrom="paragraph">
                <wp:posOffset>-166370</wp:posOffset>
              </wp:positionV>
              <wp:extent cx="323975" cy="172926"/>
              <wp:effectExtent l="0" t="0" r="0" b="0"/>
              <wp:wrapNone/>
              <wp:docPr id="14" name="Tri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 flipH="1">
                        <a:off x="0" y="0"/>
                        <a:ext cx="323975" cy="172926"/>
                      </a:xfrm>
                      <a:prstGeom prst="triangle">
                        <a:avLst/>
                      </a:prstGeom>
                      <a:solidFill>
                        <a:srgbClr val="0034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9E15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4" o:spid="_x0000_s1026" type="#_x0000_t5" style="position:absolute;margin-left:216.45pt;margin-top:-13.1pt;width:25.5pt;height:13.6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" fillcolor="#003478" stroked="f" strokeweight="1pt">
              <o:lock v:ext="edit" aspectratio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7FE6"/>
    <w:multiLevelType w:val="hybridMultilevel"/>
    <w:tmpl w:val="56FA3CF2"/>
    <w:lvl w:ilvl="0" w:tplc="BEB4A0D6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BED600"/>
      </w:rPr>
    </w:lvl>
    <w:lvl w:ilvl="1" w:tplc="E3E8D4B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BED600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177FC"/>
    <w:multiLevelType w:val="hybridMultilevel"/>
    <w:tmpl w:val="868A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B5569"/>
    <w:multiLevelType w:val="hybridMultilevel"/>
    <w:tmpl w:val="A02AE6A4"/>
    <w:lvl w:ilvl="0" w:tplc="DFA43A38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  <w:color w:val="BED60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75680967">
    <w:abstractNumId w:val="0"/>
  </w:num>
  <w:num w:numId="2" w16cid:durableId="1982298553">
    <w:abstractNumId w:val="2"/>
  </w:num>
  <w:num w:numId="3" w16cid:durableId="126545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31"/>
    <w:rsid w:val="00102B24"/>
    <w:rsid w:val="00134E26"/>
    <w:rsid w:val="001C703D"/>
    <w:rsid w:val="00231849"/>
    <w:rsid w:val="003B12D1"/>
    <w:rsid w:val="00430531"/>
    <w:rsid w:val="00466893"/>
    <w:rsid w:val="006372D7"/>
    <w:rsid w:val="006D10EA"/>
    <w:rsid w:val="00701DB7"/>
    <w:rsid w:val="00725685"/>
    <w:rsid w:val="008B763B"/>
    <w:rsid w:val="00963FF2"/>
    <w:rsid w:val="00A56221"/>
    <w:rsid w:val="00AA25C2"/>
    <w:rsid w:val="00BF4D87"/>
    <w:rsid w:val="00BF5F83"/>
    <w:rsid w:val="00C41909"/>
    <w:rsid w:val="00C6021F"/>
    <w:rsid w:val="00D62734"/>
    <w:rsid w:val="00DD1303"/>
    <w:rsid w:val="00DD6EA8"/>
    <w:rsid w:val="00DF266D"/>
    <w:rsid w:val="00E94B45"/>
    <w:rsid w:val="00E97631"/>
    <w:rsid w:val="00EB060E"/>
    <w:rsid w:val="00EB447E"/>
    <w:rsid w:val="00EF1C9A"/>
    <w:rsid w:val="00EF3959"/>
    <w:rsid w:val="00F03D8B"/>
    <w:rsid w:val="00F3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8BCE4"/>
  <w15:chartTrackingRefBased/>
  <w15:docId w15:val="{0DDF6D1B-84CC-4017-8870-83B2BDB2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31"/>
  </w:style>
  <w:style w:type="paragraph" w:styleId="Footer">
    <w:name w:val="footer"/>
    <w:basedOn w:val="Normal"/>
    <w:link w:val="FooterChar"/>
    <w:uiPriority w:val="99"/>
    <w:unhideWhenUsed/>
    <w:rsid w:val="0043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31"/>
  </w:style>
  <w:style w:type="table" w:styleId="TableGrid">
    <w:name w:val="Table Grid"/>
    <w:basedOn w:val="TableNormal"/>
    <w:uiPriority w:val="39"/>
    <w:rsid w:val="004305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53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5d564-8b46-4ffa-9aad-c52d54d0d821">
      <Terms xmlns="http://schemas.microsoft.com/office/infopath/2007/PartnerControls"/>
    </lcf76f155ced4ddcb4097134ff3c332f>
    <TaxCatchAll xmlns="07c311f1-c150-495d-a706-07161a8f24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008DBE9080440BB128E061E0DE453" ma:contentTypeVersion="13" ma:contentTypeDescription="Create a new document." ma:contentTypeScope="" ma:versionID="581306f2f91d61ccffb1cc037f998170">
  <xsd:schema xmlns:xsd="http://www.w3.org/2001/XMLSchema" xmlns:xs="http://www.w3.org/2001/XMLSchema" xmlns:p="http://schemas.microsoft.com/office/2006/metadata/properties" xmlns:ns2="0665d564-8b46-4ffa-9aad-c52d54d0d821" xmlns:ns3="07c311f1-c150-495d-a706-07161a8f2441" targetNamespace="http://schemas.microsoft.com/office/2006/metadata/properties" ma:root="true" ma:fieldsID="50e0056616cd4513fb05666bd77142a0" ns2:_="" ns3:_="">
    <xsd:import namespace="0665d564-8b46-4ffa-9aad-c52d54d0d821"/>
    <xsd:import namespace="07c311f1-c150-495d-a706-07161a8f2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5d564-8b46-4ffa-9aad-c52d54d0d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4028683-f411-4d43-9eb0-6e8f4305b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11f1-c150-495d-a706-07161a8f2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6b72d8-f9b5-4d91-9d8f-1f93a181c239}" ma:internalName="TaxCatchAll" ma:showField="CatchAllData" ma:web="07c311f1-c150-495d-a706-07161a8f2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1E865-3F97-40DA-ABE7-E09419747B0A}">
  <ds:schemaRefs>
    <ds:schemaRef ds:uri="http://schemas.microsoft.com/office/2006/metadata/properties"/>
    <ds:schemaRef ds:uri="http://schemas.microsoft.com/office/infopath/2007/PartnerControls"/>
    <ds:schemaRef ds:uri="0665d564-8b46-4ffa-9aad-c52d54d0d821"/>
    <ds:schemaRef ds:uri="07c311f1-c150-495d-a706-07161a8f2441"/>
  </ds:schemaRefs>
</ds:datastoreItem>
</file>

<file path=customXml/itemProps2.xml><?xml version="1.0" encoding="utf-8"?>
<ds:datastoreItem xmlns:ds="http://schemas.openxmlformats.org/officeDocument/2006/customXml" ds:itemID="{9AE20E33-9402-47AB-A1CE-1026B1CC0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2F448-7790-492C-A39D-1F7D57DD4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5d564-8b46-4ffa-9aad-c52d54d0d821"/>
    <ds:schemaRef ds:uri="07c311f1-c150-495d-a706-07161a8f2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Crooks</dc:creator>
  <cp:keywords/>
  <dc:description/>
  <cp:lastModifiedBy>John Bowden</cp:lastModifiedBy>
  <cp:revision>2</cp:revision>
  <dcterms:created xsi:type="dcterms:W3CDTF">2024-04-08T11:43:00Z</dcterms:created>
  <dcterms:modified xsi:type="dcterms:W3CDTF">2024-04-08T11:43:00Z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0x010100077008DBE9080440BB128E061E0DE453</vt:lpwstr>
  </property>
</Properties>
</file>